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59" w:rsidRDefault="00EE7659" w:rsidP="00EF4D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</w:pPr>
      <w:bookmarkStart w:id="0" w:name="_GoBack"/>
      <w:bookmarkEnd w:id="0"/>
    </w:p>
    <w:p w:rsidR="00A0058D" w:rsidRDefault="00DD7858" w:rsidP="00EF4D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</w:pPr>
      <w:r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Başkent </w:t>
      </w:r>
      <w:r w:rsidR="005C4BE6"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Üniversitesi </w:t>
      </w:r>
      <w:r w:rsidR="005C4BE6" w:rsidRPr="00EF4D14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2022</w:t>
      </w:r>
      <w:r w:rsidRPr="00EF4D14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 </w:t>
      </w:r>
      <w:r w:rsidR="00EF4D14" w:rsidRPr="00EF4D14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UI </w:t>
      </w:r>
      <w:proofErr w:type="spellStart"/>
      <w:r w:rsidR="00EF4D14" w:rsidRPr="00EF4D14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GreenMetric</w:t>
      </w:r>
      <w:proofErr w:type="spellEnd"/>
      <w:r w:rsidR="00EF4D14" w:rsidRPr="00EF4D14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 </w:t>
      </w:r>
      <w:r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Dünya Üniversiteler </w:t>
      </w:r>
      <w:r w:rsidR="00EF4D14" w:rsidRPr="00EF4D14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Sıralamasında Dünya’nın En Çevreci </w:t>
      </w:r>
      <w:r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ve Sürdü</w:t>
      </w:r>
      <w:r w:rsidR="003F0A79"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r</w:t>
      </w:r>
      <w:r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ülebilir 199.</w:t>
      </w:r>
      <w:r w:rsidR="00EF4D14" w:rsidRPr="00EF4D14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 Üniversitesi</w:t>
      </w:r>
      <w:r w:rsidR="003F3051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,</w:t>
      </w:r>
      <w:r w:rsidR="003F0A79"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 </w:t>
      </w:r>
    </w:p>
    <w:p w:rsidR="00EF4D14" w:rsidRDefault="003F3051" w:rsidP="00EF4D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</w:pPr>
      <w:r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Türkiye’nin 13.</w:t>
      </w:r>
      <w:r w:rsidRPr="003F3051">
        <w:t xml:space="preserve"> </w:t>
      </w:r>
      <w:r w:rsidRPr="003F3051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Üniversitesi</w:t>
      </w:r>
      <w:r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 xml:space="preserve"> </w:t>
      </w:r>
      <w:r w:rsidR="003F0A79" w:rsidRPr="00753195">
        <w:rPr>
          <w:rFonts w:eastAsia="Times New Roman" w:cstheme="minorHAnsi"/>
          <w:b/>
          <w:bCs/>
          <w:color w:val="343A40"/>
          <w:sz w:val="28"/>
          <w:szCs w:val="28"/>
          <w:lang w:eastAsia="tr-TR"/>
        </w:rPr>
        <w:t>oldu.</w:t>
      </w:r>
    </w:p>
    <w:p w:rsidR="00EF4D14" w:rsidRPr="00EF4D14" w:rsidRDefault="00884176" w:rsidP="00EF4D1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</w:pPr>
      <w:r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pict>
          <v:rect id="_x0000_i1025" style="width:0;height:0" o:hralign="center" o:hrstd="t" o:hr="t" fillcolor="#a0a0a0" stroked="f"/>
        </w:pict>
      </w:r>
    </w:p>
    <w:p w:rsidR="008B1666" w:rsidRDefault="008B1666" w:rsidP="00F6624D">
      <w:pPr>
        <w:spacing w:after="0" w:line="276" w:lineRule="auto"/>
        <w:jc w:val="both"/>
        <w:rPr>
          <w:rFonts w:eastAsia="Times New Roman" w:cstheme="minorHAnsi"/>
          <w:color w:val="343A40"/>
          <w:sz w:val="24"/>
          <w:szCs w:val="24"/>
          <w:lang w:eastAsia="tr-TR"/>
        </w:rPr>
      </w:pPr>
    </w:p>
    <w:p w:rsidR="007C416E" w:rsidRDefault="00EF4D14" w:rsidP="00F6624D">
      <w:pPr>
        <w:spacing w:after="0" w:line="276" w:lineRule="auto"/>
        <w:jc w:val="both"/>
        <w:rPr>
          <w:rFonts w:eastAsia="Times New Roman" w:cstheme="minorHAnsi"/>
          <w:color w:val="343A40"/>
          <w:sz w:val="24"/>
          <w:szCs w:val="24"/>
          <w:lang w:eastAsia="tr-TR"/>
        </w:rPr>
      </w:pPr>
      <w:r w:rsidRPr="00EF4D14">
        <w:rPr>
          <w:rFonts w:eastAsia="Times New Roman" w:cstheme="minorHAnsi"/>
          <w:color w:val="343A40"/>
          <w:sz w:val="24"/>
          <w:szCs w:val="24"/>
          <w:lang w:eastAsia="tr-TR"/>
        </w:rPr>
        <w:t xml:space="preserve">Dünya üniversitelerini çevreye duyarlılık, enerji ve iklim değişikliği, atık, </w:t>
      </w:r>
      <w:r w:rsidR="007C416E">
        <w:rPr>
          <w:rFonts w:eastAsia="Times New Roman" w:cstheme="minorHAnsi"/>
          <w:color w:val="343A40"/>
          <w:sz w:val="24"/>
          <w:szCs w:val="24"/>
          <w:lang w:eastAsia="tr-TR"/>
        </w:rPr>
        <w:t xml:space="preserve">su, </w:t>
      </w:r>
      <w:r w:rsidRPr="00EF4D14">
        <w:rPr>
          <w:rFonts w:eastAsia="Times New Roman" w:cstheme="minorHAnsi"/>
          <w:color w:val="343A40"/>
          <w:sz w:val="24"/>
          <w:szCs w:val="24"/>
          <w:lang w:eastAsia="tr-TR"/>
        </w:rPr>
        <w:t>ulaşım</w:t>
      </w:r>
      <w:r w:rsidR="007C416E">
        <w:rPr>
          <w:rFonts w:eastAsia="Times New Roman" w:cstheme="minorHAnsi"/>
          <w:color w:val="343A40"/>
          <w:sz w:val="24"/>
          <w:szCs w:val="24"/>
          <w:lang w:eastAsia="tr-TR"/>
        </w:rPr>
        <w:t>, eğitim ve araştırma</w:t>
      </w:r>
      <w:r w:rsidRPr="00EF4D14">
        <w:rPr>
          <w:rFonts w:eastAsia="Times New Roman" w:cstheme="minorHAnsi"/>
          <w:color w:val="343A40"/>
          <w:sz w:val="24"/>
          <w:szCs w:val="24"/>
          <w:lang w:eastAsia="tr-TR"/>
        </w:rPr>
        <w:t xml:space="preserve"> ve sürdürülebilirlik alanlarında değerlendiren UI </w:t>
      </w:r>
      <w:proofErr w:type="spellStart"/>
      <w:r w:rsidRPr="00EF4D14">
        <w:rPr>
          <w:rFonts w:eastAsia="Times New Roman" w:cstheme="minorHAnsi"/>
          <w:color w:val="343A40"/>
          <w:sz w:val="24"/>
          <w:szCs w:val="24"/>
          <w:lang w:eastAsia="tr-TR"/>
        </w:rPr>
        <w:t>GreenMetric</w:t>
      </w:r>
      <w:proofErr w:type="spellEnd"/>
      <w:r w:rsidRPr="00EF4D14">
        <w:rPr>
          <w:rFonts w:eastAsia="Times New Roman" w:cstheme="minorHAnsi"/>
          <w:color w:val="343A40"/>
          <w:sz w:val="24"/>
          <w:szCs w:val="24"/>
          <w:lang w:eastAsia="tr-TR"/>
        </w:rPr>
        <w:t xml:space="preserve"> Dünya Üniversiteleri Sıralama Sistemi 2022 yılı sonuçları</w:t>
      </w:r>
      <w:r w:rsidR="007C416E">
        <w:rPr>
          <w:rFonts w:eastAsia="Times New Roman" w:cstheme="minorHAnsi"/>
          <w:color w:val="343A40"/>
          <w:sz w:val="24"/>
          <w:szCs w:val="24"/>
          <w:lang w:eastAsia="tr-TR"/>
        </w:rPr>
        <w:t>nı</w:t>
      </w:r>
      <w:r w:rsidRPr="00EF4D14">
        <w:rPr>
          <w:rFonts w:eastAsia="Times New Roman" w:cstheme="minorHAnsi"/>
          <w:color w:val="343A40"/>
          <w:sz w:val="24"/>
          <w:szCs w:val="24"/>
          <w:lang w:eastAsia="tr-TR"/>
        </w:rPr>
        <w:t xml:space="preserve"> açıklandı. </w:t>
      </w:r>
    </w:p>
    <w:p w:rsidR="007C416E" w:rsidRDefault="007C416E" w:rsidP="00F6624D">
      <w:pPr>
        <w:spacing w:after="0" w:line="276" w:lineRule="auto"/>
        <w:jc w:val="both"/>
        <w:rPr>
          <w:rFonts w:eastAsia="Times New Roman" w:cstheme="minorHAnsi"/>
          <w:color w:val="343A40"/>
          <w:sz w:val="24"/>
          <w:szCs w:val="24"/>
          <w:lang w:eastAsia="tr-TR"/>
        </w:rPr>
      </w:pPr>
    </w:p>
    <w:p w:rsidR="008C29DC" w:rsidRDefault="00EF4D14" w:rsidP="00F6624D">
      <w:pPr>
        <w:spacing w:after="0" w:line="276" w:lineRule="auto"/>
        <w:jc w:val="both"/>
        <w:rPr>
          <w:rFonts w:eastAsia="Times New Roman" w:cstheme="minorHAnsi"/>
          <w:color w:val="343A40"/>
          <w:sz w:val="24"/>
          <w:szCs w:val="24"/>
          <w:lang w:eastAsia="tr-TR"/>
        </w:rPr>
      </w:pP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Üniversitemiz, 1050 üniversitenin değerlendirildiği bu sıralamada bu yıl 1</w:t>
      </w:r>
      <w:r w:rsidR="00A84BDC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80</w:t>
      </w: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 xml:space="preserve"> sıra birden yükselerek dünyanın en sürdürülebilir üniversiteleri arasında </w:t>
      </w:r>
      <w:r w:rsidR="00DD7858" w:rsidRPr="00EE7659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199</w:t>
      </w: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 xml:space="preserve">. sırada yer almış ve önemli bir başarı göstermiştir. Ayrıca, Türkiye Üniversiteleri arasında ise sıralamaya giren 82 üniversite içerisinde </w:t>
      </w:r>
      <w:r w:rsidR="00DD7858" w:rsidRPr="00EE7659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1</w:t>
      </w:r>
      <w:r w:rsidR="00484173" w:rsidRPr="00EE7659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3</w:t>
      </w:r>
      <w:r w:rsidR="00DD7858" w:rsidRPr="00EE7659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.</w:t>
      </w: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 xml:space="preserve"> </w:t>
      </w:r>
      <w:r w:rsidR="007769A8" w:rsidRPr="00EE7659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S</w:t>
      </w: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ırada</w:t>
      </w:r>
      <w:r w:rsidR="007769A8" w:rsidRPr="00EE7659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 xml:space="preserve">, </w:t>
      </w:r>
      <w:r w:rsidR="008E349A" w:rsidRPr="00EE7659">
        <w:rPr>
          <w:rFonts w:cstheme="minorHAnsi"/>
          <w:b/>
          <w:sz w:val="24"/>
          <w:szCs w:val="24"/>
        </w:rPr>
        <w:t>Ankara’dan sıralamaya katılan 9 üniversite arasında ODTÜ’den sonra 2. Sırada,</w:t>
      </w:r>
      <w:r w:rsidR="008E349A" w:rsidRPr="00EE7659">
        <w:rPr>
          <w:rFonts w:cstheme="minorHAnsi"/>
          <w:sz w:val="24"/>
          <w:szCs w:val="24"/>
        </w:rPr>
        <w:t xml:space="preserve"> </w:t>
      </w: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 xml:space="preserve"> </w:t>
      </w:r>
      <w:r w:rsidR="007769A8" w:rsidRPr="00EE7659">
        <w:rPr>
          <w:rFonts w:cstheme="minorHAnsi"/>
          <w:b/>
          <w:sz w:val="24"/>
          <w:szCs w:val="24"/>
        </w:rPr>
        <w:t xml:space="preserve">Ankara’daki vakıf üniversiteleri sıralamasında </w:t>
      </w:r>
      <w:r w:rsidR="00B83B3E" w:rsidRPr="00EE7659">
        <w:rPr>
          <w:rFonts w:cstheme="minorHAnsi"/>
          <w:b/>
          <w:sz w:val="24"/>
          <w:szCs w:val="24"/>
        </w:rPr>
        <w:t xml:space="preserve">2 </w:t>
      </w:r>
      <w:r w:rsidR="007769A8" w:rsidRPr="00EE7659">
        <w:rPr>
          <w:rFonts w:cstheme="minorHAnsi"/>
          <w:b/>
          <w:sz w:val="24"/>
          <w:szCs w:val="24"/>
        </w:rPr>
        <w:t xml:space="preserve">yıldır </w:t>
      </w:r>
      <w:r w:rsidR="00B83B3E" w:rsidRPr="00EE7659">
        <w:rPr>
          <w:rFonts w:cstheme="minorHAnsi"/>
          <w:b/>
          <w:sz w:val="24"/>
          <w:szCs w:val="24"/>
        </w:rPr>
        <w:t xml:space="preserve">olduğu gibi yine </w:t>
      </w:r>
      <w:r w:rsidR="007769A8" w:rsidRPr="00EE7659">
        <w:rPr>
          <w:rFonts w:cstheme="minorHAnsi"/>
          <w:b/>
          <w:sz w:val="24"/>
          <w:szCs w:val="24"/>
        </w:rPr>
        <w:t>1. sırada yer</w:t>
      </w:r>
      <w:r w:rsidR="007769A8" w:rsidRPr="00EE7659">
        <w:rPr>
          <w:rFonts w:cstheme="minorHAnsi"/>
          <w:sz w:val="24"/>
          <w:szCs w:val="24"/>
        </w:rPr>
        <w:t xml:space="preserve"> </w:t>
      </w: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al</w:t>
      </w:r>
      <w:r w:rsidR="00A51606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dı</w:t>
      </w:r>
      <w:r w:rsidRPr="00EF4D14">
        <w:rPr>
          <w:rFonts w:eastAsia="Times New Roman" w:cstheme="minorHAnsi"/>
          <w:b/>
          <w:bCs/>
          <w:color w:val="343A40"/>
          <w:sz w:val="24"/>
          <w:szCs w:val="24"/>
          <w:lang w:eastAsia="tr-TR"/>
        </w:rPr>
        <w:t>. </w:t>
      </w:r>
      <w:r w:rsidR="00DB22CB" w:rsidRPr="00EE7659">
        <w:rPr>
          <w:rFonts w:eastAsia="Times New Roman" w:cstheme="minorHAnsi"/>
          <w:color w:val="343A40"/>
          <w:sz w:val="24"/>
          <w:szCs w:val="24"/>
          <w:lang w:eastAsia="tr-TR"/>
        </w:rPr>
        <w:t xml:space="preserve"> </w:t>
      </w:r>
    </w:p>
    <w:p w:rsidR="00393A84" w:rsidRDefault="00393A84" w:rsidP="00F6624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C29DC" w:rsidRDefault="008C29DC" w:rsidP="00F6624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E7659">
        <w:rPr>
          <w:rFonts w:cstheme="minorHAnsi"/>
          <w:sz w:val="24"/>
          <w:szCs w:val="24"/>
        </w:rPr>
        <w:t xml:space="preserve">Türkiye sıralamasında vakıf üniversiteleri arasında Özyeğin Üniversitesi ve Yeditepe Üniversitesi’nden sonra 3. Sırada yer aldı. </w:t>
      </w:r>
    </w:p>
    <w:p w:rsidR="008B1666" w:rsidRDefault="008B1666" w:rsidP="00F6624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BC47CA" w:rsidRDefault="00BC47CA" w:rsidP="00F6624D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Türkiye sıralamasında İstanbul Teknik Üniversitesi 1. Sırada yer aldı.</w:t>
      </w:r>
      <w:r w:rsidR="00077F70">
        <w:rPr>
          <w:rFonts w:cstheme="minorHAnsi"/>
          <w:sz w:val="24"/>
          <w:szCs w:val="24"/>
        </w:rPr>
        <w:t xml:space="preserve"> Ardından Erciyes </w:t>
      </w:r>
      <w:r w:rsidR="00077F70" w:rsidRPr="00077F70">
        <w:rPr>
          <w:rFonts w:cstheme="minorHAnsi"/>
          <w:sz w:val="24"/>
          <w:szCs w:val="24"/>
        </w:rPr>
        <w:t xml:space="preserve">Üniversitesi </w:t>
      </w:r>
      <w:r w:rsidR="00077F70">
        <w:rPr>
          <w:rFonts w:cstheme="minorHAnsi"/>
          <w:sz w:val="24"/>
          <w:szCs w:val="24"/>
        </w:rPr>
        <w:t>ve Özyeğin Üniversitesi takip etti.</w:t>
      </w:r>
    </w:p>
    <w:p w:rsidR="00EE7659" w:rsidRPr="00EE7659" w:rsidRDefault="00EE7659" w:rsidP="008C29DC">
      <w:pPr>
        <w:jc w:val="both"/>
        <w:rPr>
          <w:rFonts w:cstheme="minorHAnsi"/>
          <w:sz w:val="24"/>
          <w:szCs w:val="24"/>
        </w:rPr>
      </w:pPr>
    </w:p>
    <w:tbl>
      <w:tblPr>
        <w:tblW w:w="9611" w:type="dxa"/>
        <w:tblInd w:w="-1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82"/>
        <w:gridCol w:w="899"/>
        <w:gridCol w:w="1687"/>
        <w:gridCol w:w="883"/>
        <w:gridCol w:w="706"/>
        <w:gridCol w:w="704"/>
        <w:gridCol w:w="1119"/>
        <w:gridCol w:w="702"/>
        <w:gridCol w:w="418"/>
        <w:gridCol w:w="703"/>
        <w:gridCol w:w="908"/>
      </w:tblGrid>
      <w:tr w:rsidR="00CE56A3" w:rsidRPr="002E4198" w:rsidTr="00593E9A">
        <w:trPr>
          <w:trHeight w:val="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Türkiye Sıralaması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Dünya Sıralaması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Üniversite Türü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Toplam Puan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Yapı ve Altyapı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Enerji ve İklim Değişikliği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Atıklar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Ulaşım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593E9A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93E9A">
              <w:rPr>
                <w:rFonts w:eastAsia="Times New Roman" w:cstheme="minorHAnsi"/>
                <w:b/>
                <w:bCs/>
                <w:color w:val="343A40"/>
                <w:sz w:val="20"/>
                <w:szCs w:val="20"/>
                <w:lang w:eastAsia="tr-TR"/>
              </w:rPr>
              <w:t>Eğitim ve Araştırma</w:t>
            </w:r>
          </w:p>
        </w:tc>
      </w:tr>
      <w:tr w:rsidR="0072287C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Ortadoğu Teknik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7950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1475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1800</w:t>
            </w:r>
          </w:p>
        </w:tc>
      </w:tr>
      <w:tr w:rsidR="0072287C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199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Başkent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7625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1375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1400</w:t>
            </w:r>
          </w:p>
        </w:tc>
      </w:tr>
      <w:tr w:rsidR="0072287C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481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Hacettepe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875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1425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1525</w:t>
            </w:r>
          </w:p>
        </w:tc>
      </w:tr>
      <w:tr w:rsidR="0072287C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533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Bilkent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5815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1425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1275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</w:tr>
      <w:tr w:rsidR="0072287C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547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Atılım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5730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1275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940</w:t>
            </w:r>
          </w:p>
        </w:tc>
      </w:tr>
      <w:tr w:rsidR="00593E9A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518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TOBB  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1225</w:t>
            </w:r>
          </w:p>
        </w:tc>
      </w:tr>
      <w:tr w:rsidR="0072287C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636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Gazi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593E9A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5075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1350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900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875</w:t>
            </w:r>
          </w:p>
        </w:tc>
      </w:tr>
      <w:tr w:rsidR="00593E9A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Çankaya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Vakıf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3380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735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850</w:t>
            </w:r>
          </w:p>
        </w:tc>
      </w:tr>
      <w:tr w:rsidR="00593E9A" w:rsidRPr="002E4198" w:rsidTr="00593E9A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956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Ankara Üniversitesi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287C" w:rsidRPr="008421C0" w:rsidRDefault="0072287C" w:rsidP="00A42DF6">
            <w:pPr>
              <w:shd w:val="clear" w:color="auto" w:fill="FFFFFF"/>
              <w:spacing w:after="100" w:afterAutospacing="1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color w:val="000000" w:themeColor="text1"/>
                <w:sz w:val="18"/>
                <w:szCs w:val="18"/>
                <w:lang w:eastAsia="tr-TR"/>
              </w:rPr>
              <w:t>Devlet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3005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660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287C" w:rsidRPr="008421C0" w:rsidRDefault="0072287C" w:rsidP="00A42DF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421C0">
              <w:rPr>
                <w:b/>
                <w:color w:val="000000" w:themeColor="text1"/>
                <w:sz w:val="18"/>
                <w:szCs w:val="18"/>
              </w:rPr>
              <w:t>775</w:t>
            </w:r>
          </w:p>
        </w:tc>
      </w:tr>
    </w:tbl>
    <w:p w:rsidR="0072287C" w:rsidRDefault="0072287C" w:rsidP="00B726F7">
      <w:pPr>
        <w:jc w:val="both"/>
        <w:rPr>
          <w:rFonts w:cstheme="minorHAnsi"/>
          <w:sz w:val="24"/>
          <w:szCs w:val="24"/>
        </w:rPr>
      </w:pPr>
    </w:p>
    <w:p w:rsidR="008B1666" w:rsidRDefault="008B1666" w:rsidP="00B726F7">
      <w:pPr>
        <w:jc w:val="both"/>
        <w:rPr>
          <w:rFonts w:cstheme="minorHAnsi"/>
          <w:sz w:val="24"/>
          <w:szCs w:val="24"/>
        </w:rPr>
      </w:pPr>
    </w:p>
    <w:p w:rsidR="008B1666" w:rsidRDefault="008B1666" w:rsidP="00B726F7">
      <w:pPr>
        <w:jc w:val="both"/>
        <w:rPr>
          <w:rFonts w:cstheme="minorHAnsi"/>
          <w:sz w:val="24"/>
          <w:szCs w:val="24"/>
        </w:rPr>
      </w:pPr>
    </w:p>
    <w:p w:rsidR="0045247D" w:rsidRDefault="00BA2EA7" w:rsidP="0045247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2022 </w:t>
      </w:r>
      <w:proofErr w:type="spellStart"/>
      <w:r w:rsidR="00B726F7" w:rsidRPr="00EE7659">
        <w:rPr>
          <w:rFonts w:cstheme="minorHAnsi"/>
          <w:sz w:val="24"/>
          <w:szCs w:val="24"/>
        </w:rPr>
        <w:t>GreenMetric</w:t>
      </w:r>
      <w:proofErr w:type="spellEnd"/>
      <w:r w:rsidR="00B726F7" w:rsidRPr="00EE7659">
        <w:rPr>
          <w:rFonts w:cstheme="minorHAnsi"/>
          <w:sz w:val="24"/>
          <w:szCs w:val="24"/>
        </w:rPr>
        <w:t xml:space="preserve"> sıralamasında Üniversitemiz toplam puanını 10.000 puan üzerinden 7625’e yükseltirken, </w:t>
      </w:r>
      <w:r w:rsidR="00540B8F">
        <w:rPr>
          <w:rFonts w:cstheme="minorHAnsi"/>
          <w:sz w:val="24"/>
          <w:szCs w:val="24"/>
        </w:rPr>
        <w:t>Yapı ve Altyapı</w:t>
      </w:r>
      <w:r w:rsidR="00B726F7" w:rsidRPr="00EE7659">
        <w:rPr>
          <w:rFonts w:cstheme="minorHAnsi"/>
          <w:sz w:val="24"/>
          <w:szCs w:val="24"/>
        </w:rPr>
        <w:t xml:space="preserve"> kategorisinde 1225 puan, Enerji ve İklim Değişikliği kategorisinde 1625 puan, Atık kategorisinde 1350 puan, Ulaşım kategorisinde 1375, Eğitim ve Araştırma kategorisinde ise 1400 puan al</w:t>
      </w:r>
      <w:r w:rsidR="00A51606">
        <w:rPr>
          <w:rFonts w:cstheme="minorHAnsi"/>
          <w:sz w:val="24"/>
          <w:szCs w:val="24"/>
        </w:rPr>
        <w:t>dı</w:t>
      </w:r>
      <w:r w:rsidR="00B726F7" w:rsidRPr="00EE7659">
        <w:rPr>
          <w:rFonts w:cstheme="minorHAnsi"/>
          <w:sz w:val="24"/>
          <w:szCs w:val="24"/>
        </w:rPr>
        <w:t xml:space="preserve">. </w:t>
      </w:r>
    </w:p>
    <w:p w:rsidR="00B726F7" w:rsidRDefault="0045247D" w:rsidP="0045247D">
      <w:pPr>
        <w:jc w:val="both"/>
        <w:rPr>
          <w:rFonts w:cstheme="minorHAnsi"/>
          <w:sz w:val="24"/>
          <w:szCs w:val="24"/>
        </w:rPr>
      </w:pPr>
      <w:r w:rsidRPr="0045247D">
        <w:rPr>
          <w:rFonts w:cstheme="minorHAnsi"/>
          <w:sz w:val="24"/>
          <w:szCs w:val="24"/>
        </w:rPr>
        <w:t>Enerji ve iklim değişikliği kategorisinde Dünyada 107. Üniversite, Türkiye’nin 4. üniversitesi ol</w:t>
      </w:r>
      <w:r>
        <w:rPr>
          <w:rFonts w:cstheme="minorHAnsi"/>
          <w:sz w:val="24"/>
          <w:szCs w:val="24"/>
        </w:rPr>
        <w:t>du</w:t>
      </w:r>
      <w:r w:rsidRPr="0045247D">
        <w:rPr>
          <w:rFonts w:cstheme="minorHAnsi"/>
          <w:sz w:val="24"/>
          <w:szCs w:val="24"/>
        </w:rPr>
        <w:t xml:space="preserve">. Bağlıca </w:t>
      </w:r>
      <w:proofErr w:type="spellStart"/>
      <w:r w:rsidRPr="0045247D">
        <w:rPr>
          <w:rFonts w:cstheme="minorHAnsi"/>
          <w:sz w:val="24"/>
          <w:szCs w:val="24"/>
        </w:rPr>
        <w:t>Yerleşkesi’nde</w:t>
      </w:r>
      <w:proofErr w:type="spellEnd"/>
      <w:r w:rsidRPr="0045247D">
        <w:rPr>
          <w:rFonts w:cstheme="minorHAnsi"/>
          <w:sz w:val="24"/>
          <w:szCs w:val="24"/>
        </w:rPr>
        <w:t xml:space="preserve"> Kütüphane, Kongre ve Kültür Merkezinde yapımı tamamlanarak 12 Kasım 2021 tarihinde devreye alınan Güneş Enerjisi Santrali ile tüm yerleşkenin enerji ihtiyacının %46’sı karşılanmaktadır. Yine ülkemizin çalışan en büyük </w:t>
      </w:r>
      <w:proofErr w:type="spellStart"/>
      <w:r w:rsidRPr="0045247D">
        <w:rPr>
          <w:rFonts w:cstheme="minorHAnsi"/>
          <w:sz w:val="24"/>
          <w:szCs w:val="24"/>
        </w:rPr>
        <w:t>Carport</w:t>
      </w:r>
      <w:proofErr w:type="spellEnd"/>
      <w:r w:rsidRPr="0045247D">
        <w:rPr>
          <w:rFonts w:cstheme="minorHAnsi"/>
          <w:sz w:val="24"/>
          <w:szCs w:val="24"/>
        </w:rPr>
        <w:t xml:space="preserve"> tipindeki Güneş Enerji Santrali de burada bulunmaktadır 2023 yılında Mühendislik Fakültesi Binasında da hem çatı hem de </w:t>
      </w:r>
      <w:proofErr w:type="spellStart"/>
      <w:r w:rsidRPr="0045247D">
        <w:rPr>
          <w:rFonts w:cstheme="minorHAnsi"/>
          <w:sz w:val="24"/>
          <w:szCs w:val="24"/>
        </w:rPr>
        <w:t>Carport</w:t>
      </w:r>
      <w:proofErr w:type="spellEnd"/>
      <w:r w:rsidRPr="0045247D">
        <w:rPr>
          <w:rFonts w:cstheme="minorHAnsi"/>
          <w:sz w:val="24"/>
          <w:szCs w:val="24"/>
        </w:rPr>
        <w:t xml:space="preserve"> tipi Güneş Enerjisi Santrali uygulaması ile yerleşkenin elektrik ihtiyacının %100 ü güneşten karşılanacaktır. A</w:t>
      </w:r>
      <w:r w:rsidR="00393A84">
        <w:rPr>
          <w:rFonts w:cstheme="minorHAnsi"/>
          <w:sz w:val="24"/>
          <w:szCs w:val="24"/>
        </w:rPr>
        <w:t xml:space="preserve">yrıca </w:t>
      </w:r>
      <w:r w:rsidRPr="0045247D">
        <w:rPr>
          <w:rFonts w:cstheme="minorHAnsi"/>
          <w:sz w:val="24"/>
          <w:szCs w:val="24"/>
        </w:rPr>
        <w:t>Üniversitemiz 2022 yılı 1. Verimlilik ödülleri</w:t>
      </w:r>
      <w:r>
        <w:rPr>
          <w:rFonts w:cstheme="minorHAnsi"/>
          <w:sz w:val="24"/>
          <w:szCs w:val="24"/>
        </w:rPr>
        <w:t xml:space="preserve"> B</w:t>
      </w:r>
      <w:r w:rsidRPr="0045247D">
        <w:rPr>
          <w:rFonts w:cstheme="minorHAnsi"/>
          <w:sz w:val="24"/>
          <w:szCs w:val="24"/>
        </w:rPr>
        <w:t xml:space="preserve">aşkent </w:t>
      </w:r>
      <w:r>
        <w:rPr>
          <w:rFonts w:cstheme="minorHAnsi"/>
          <w:sz w:val="24"/>
          <w:szCs w:val="24"/>
        </w:rPr>
        <w:t>Ü</w:t>
      </w:r>
      <w:r w:rsidRPr="0045247D">
        <w:rPr>
          <w:rFonts w:cstheme="minorHAnsi"/>
          <w:sz w:val="24"/>
          <w:szCs w:val="24"/>
        </w:rPr>
        <w:t xml:space="preserve">niversitesi çatı ve </w:t>
      </w:r>
      <w:proofErr w:type="spellStart"/>
      <w:r w:rsidRPr="0045247D">
        <w:rPr>
          <w:rFonts w:cstheme="minorHAnsi"/>
          <w:sz w:val="24"/>
          <w:szCs w:val="24"/>
        </w:rPr>
        <w:t>carport</w:t>
      </w:r>
      <w:proofErr w:type="spellEnd"/>
      <w:r w:rsidRPr="0045247D">
        <w:rPr>
          <w:rFonts w:cstheme="minorHAnsi"/>
          <w:sz w:val="24"/>
          <w:szCs w:val="24"/>
        </w:rPr>
        <w:t xml:space="preserve"> GES projesine verilmiştir.  </w:t>
      </w:r>
    </w:p>
    <w:p w:rsidR="001E5334" w:rsidRDefault="001E5334" w:rsidP="0045247D">
      <w:pPr>
        <w:jc w:val="both"/>
        <w:rPr>
          <w:rFonts w:cstheme="minorHAnsi"/>
          <w:sz w:val="24"/>
          <w:szCs w:val="24"/>
        </w:rPr>
      </w:pPr>
    </w:p>
    <w:tbl>
      <w:tblPr>
        <w:tblW w:w="9092" w:type="dxa"/>
        <w:tblInd w:w="-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43"/>
        <w:gridCol w:w="1043"/>
        <w:gridCol w:w="1043"/>
        <w:gridCol w:w="1043"/>
        <w:gridCol w:w="1235"/>
        <w:gridCol w:w="852"/>
        <w:gridCol w:w="849"/>
        <w:gridCol w:w="850"/>
        <w:gridCol w:w="1134"/>
      </w:tblGrid>
      <w:tr w:rsidR="00F6624D" w:rsidRPr="00753195" w:rsidTr="00593E9A">
        <w:trPr>
          <w:trHeight w:val="592"/>
        </w:trPr>
        <w:tc>
          <w:tcPr>
            <w:tcW w:w="1043" w:type="dxa"/>
            <w:tcBorders>
              <w:top w:val="single" w:sz="6" w:space="0" w:color="DDBCC6"/>
              <w:left w:val="single" w:sz="6" w:space="0" w:color="DDBCC6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Yıl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Dünya</w:t>
            </w:r>
          </w:p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Sıralama</w:t>
            </w:r>
            <w:r w:rsidR="00593E9A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sı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Toplam Puan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 xml:space="preserve">Yapı </w:t>
            </w:r>
            <w:r w:rsidR="00924C43" w:rsidRPr="00E14F51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ve Altyapı</w:t>
            </w: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924C43" w:rsidP="00593E9A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E14F51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 xml:space="preserve">Enerji </w:t>
            </w:r>
            <w:r w:rsidR="00593E9A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 xml:space="preserve">ve </w:t>
            </w:r>
            <w:r w:rsidRPr="00E14F51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İklim</w:t>
            </w:r>
            <w:r w:rsidR="00B666FF"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 xml:space="preserve"> Değişikliği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Atıklar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Ulaşım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B666FF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B666FF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Eğitim ve Araştırma</w:t>
            </w:r>
          </w:p>
        </w:tc>
      </w:tr>
      <w:tr w:rsidR="001B6AEF" w:rsidRPr="00753195" w:rsidTr="00593E9A">
        <w:trPr>
          <w:trHeight w:val="3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2018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552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3775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1075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825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375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775</w:t>
            </w:r>
          </w:p>
        </w:tc>
      </w:tr>
      <w:tr w:rsidR="001B6AEF" w:rsidRPr="00753195" w:rsidTr="00593E9A">
        <w:trPr>
          <w:trHeight w:val="3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2019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594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3925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850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800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675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450</w:t>
            </w:r>
          </w:p>
        </w:tc>
      </w:tr>
      <w:tr w:rsidR="001B6AEF" w:rsidRPr="00753195" w:rsidTr="00593E9A">
        <w:trPr>
          <w:trHeight w:val="3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2020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405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5575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975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1075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1050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825</w:t>
            </w:r>
          </w:p>
        </w:tc>
      </w:tr>
      <w:tr w:rsidR="001B6AEF" w:rsidRPr="00753195" w:rsidTr="00593E9A">
        <w:trPr>
          <w:trHeight w:val="3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2021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379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6150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925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950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1125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B666FF" w:rsidRPr="008421C0" w:rsidRDefault="00B666FF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8421C0">
              <w:rPr>
                <w:rFonts w:eastAsia="Times New Roman" w:cstheme="minorHAnsi"/>
                <w:b/>
                <w:bCs/>
                <w:kern w:val="24"/>
                <w:sz w:val="18"/>
                <w:szCs w:val="18"/>
                <w:lang w:eastAsia="tr-TR"/>
              </w:rPr>
              <w:t>1125</w:t>
            </w:r>
          </w:p>
        </w:tc>
      </w:tr>
      <w:tr w:rsidR="001B6AEF" w:rsidRPr="00753195" w:rsidTr="00593E9A">
        <w:trPr>
          <w:trHeight w:val="39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04149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2022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04149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63632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7625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63632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cstheme="minorHAnsi"/>
                <w:b/>
                <w:sz w:val="20"/>
                <w:szCs w:val="20"/>
              </w:rPr>
              <w:t>1225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63632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cstheme="minorHAnsi"/>
                <w:b/>
                <w:sz w:val="20"/>
                <w:szCs w:val="20"/>
              </w:rPr>
              <w:t>1625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63632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cstheme="minorHAnsi"/>
                <w:b/>
                <w:sz w:val="20"/>
                <w:szCs w:val="20"/>
              </w:rPr>
              <w:t>1350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63632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63632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cstheme="minorHAnsi"/>
                <w:b/>
                <w:sz w:val="20"/>
                <w:szCs w:val="20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:rsidR="00604149" w:rsidRPr="00BC40B5" w:rsidRDefault="00663632" w:rsidP="00B666FF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</w:pPr>
            <w:r w:rsidRPr="00BC40B5">
              <w:rPr>
                <w:rFonts w:eastAsia="Times New Roman" w:cstheme="minorHAnsi"/>
                <w:b/>
                <w:bCs/>
                <w:kern w:val="24"/>
                <w:sz w:val="20"/>
                <w:szCs w:val="20"/>
                <w:lang w:eastAsia="tr-TR"/>
              </w:rPr>
              <w:t>1400</w:t>
            </w:r>
          </w:p>
        </w:tc>
      </w:tr>
    </w:tbl>
    <w:p w:rsidR="00EE7659" w:rsidRDefault="00EE7659" w:rsidP="00F830C8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43A40"/>
          <w:sz w:val="24"/>
          <w:szCs w:val="24"/>
          <w:lang w:eastAsia="tr-TR"/>
        </w:rPr>
      </w:pPr>
    </w:p>
    <w:p w:rsidR="004A057A" w:rsidRPr="00753195" w:rsidRDefault="004A057A" w:rsidP="004A057A">
      <w:pPr>
        <w:jc w:val="both"/>
        <w:rPr>
          <w:rFonts w:cstheme="minorHAnsi"/>
          <w:sz w:val="24"/>
          <w:szCs w:val="24"/>
        </w:rPr>
      </w:pPr>
      <w:r w:rsidRPr="00753195">
        <w:rPr>
          <w:rFonts w:cstheme="minorHAnsi"/>
          <w:sz w:val="24"/>
          <w:szCs w:val="24"/>
        </w:rPr>
        <w:t xml:space="preserve">2010 yılından beri yayınlanan </w:t>
      </w:r>
      <w:r w:rsidR="00344A9F">
        <w:rPr>
          <w:rFonts w:cstheme="minorHAnsi"/>
          <w:sz w:val="24"/>
          <w:szCs w:val="24"/>
        </w:rPr>
        <w:t>sıralamada</w:t>
      </w:r>
      <w:r w:rsidRPr="00753195">
        <w:rPr>
          <w:rFonts w:cstheme="minorHAnsi"/>
          <w:sz w:val="24"/>
          <w:szCs w:val="24"/>
        </w:rPr>
        <w:t xml:space="preserve"> bu yıl ilk üç sırayı Hollanda’dan Wageningen Üniversitesi ile </w:t>
      </w:r>
      <w:r w:rsidR="00CD0689">
        <w:rPr>
          <w:rFonts w:cstheme="minorHAnsi"/>
          <w:sz w:val="24"/>
          <w:szCs w:val="24"/>
        </w:rPr>
        <w:t xml:space="preserve">Birleşik </w:t>
      </w:r>
      <w:proofErr w:type="spellStart"/>
      <w:r w:rsidR="00CD0689">
        <w:rPr>
          <w:rFonts w:cstheme="minorHAnsi"/>
          <w:sz w:val="24"/>
          <w:szCs w:val="24"/>
        </w:rPr>
        <w:t>Kırallıktan</w:t>
      </w:r>
      <w:proofErr w:type="spellEnd"/>
      <w:r w:rsidR="00CD0689">
        <w:rPr>
          <w:rFonts w:cstheme="minorHAnsi"/>
          <w:sz w:val="24"/>
          <w:szCs w:val="24"/>
        </w:rPr>
        <w:t xml:space="preserve"> </w:t>
      </w:r>
      <w:r w:rsidRPr="00753195">
        <w:rPr>
          <w:rFonts w:cstheme="minorHAnsi"/>
          <w:sz w:val="24"/>
          <w:szCs w:val="24"/>
        </w:rPr>
        <w:t xml:space="preserve">Nottingham </w:t>
      </w:r>
      <w:proofErr w:type="spellStart"/>
      <w:r w:rsidRPr="00753195">
        <w:rPr>
          <w:rFonts w:cstheme="minorHAnsi"/>
          <w:sz w:val="24"/>
          <w:szCs w:val="24"/>
        </w:rPr>
        <w:t>Trent</w:t>
      </w:r>
      <w:proofErr w:type="spellEnd"/>
      <w:r w:rsidRPr="00753195">
        <w:rPr>
          <w:rFonts w:cstheme="minorHAnsi"/>
          <w:sz w:val="24"/>
          <w:szCs w:val="24"/>
        </w:rPr>
        <w:t xml:space="preserve"> </w:t>
      </w:r>
      <w:r w:rsidR="00CD0689" w:rsidRPr="00753195">
        <w:rPr>
          <w:rFonts w:cstheme="minorHAnsi"/>
          <w:sz w:val="24"/>
          <w:szCs w:val="24"/>
        </w:rPr>
        <w:t>Üniversite</w:t>
      </w:r>
      <w:r w:rsidR="00CD0689">
        <w:rPr>
          <w:rFonts w:cstheme="minorHAnsi"/>
          <w:sz w:val="24"/>
          <w:szCs w:val="24"/>
        </w:rPr>
        <w:t>si</w:t>
      </w:r>
      <w:r w:rsidRPr="00753195">
        <w:rPr>
          <w:rFonts w:cstheme="minorHAnsi"/>
          <w:sz w:val="24"/>
          <w:szCs w:val="24"/>
        </w:rPr>
        <w:t xml:space="preserve"> ve Nottingham Üniversitesi aldı.</w:t>
      </w:r>
    </w:p>
    <w:p w:rsidR="004A057A" w:rsidRPr="00753195" w:rsidRDefault="004A057A" w:rsidP="004A057A">
      <w:pPr>
        <w:jc w:val="both"/>
        <w:rPr>
          <w:rFonts w:cstheme="minorHAnsi"/>
          <w:sz w:val="24"/>
          <w:szCs w:val="24"/>
        </w:rPr>
      </w:pPr>
      <w:proofErr w:type="spellStart"/>
      <w:r w:rsidRPr="00753195">
        <w:rPr>
          <w:rFonts w:cstheme="minorHAnsi"/>
          <w:sz w:val="24"/>
          <w:szCs w:val="24"/>
        </w:rPr>
        <w:t>GreenMetric</w:t>
      </w:r>
      <w:proofErr w:type="spellEnd"/>
      <w:r w:rsidRPr="00753195">
        <w:rPr>
          <w:rFonts w:cstheme="minorHAnsi"/>
          <w:sz w:val="24"/>
          <w:szCs w:val="24"/>
        </w:rPr>
        <w:t xml:space="preserve"> son yıllarda yaygınlaşan ve sayıları giderek artan uluslararası üniversite sıralama sistemleri kalitenin bir göstergesi olarak algılanmaktadır. </w:t>
      </w:r>
      <w:proofErr w:type="spellStart"/>
      <w:r w:rsidRPr="00753195">
        <w:rPr>
          <w:rFonts w:cstheme="minorHAnsi"/>
          <w:sz w:val="24"/>
          <w:szCs w:val="24"/>
        </w:rPr>
        <w:t>GreenMetric</w:t>
      </w:r>
      <w:proofErr w:type="spellEnd"/>
      <w:r w:rsidRPr="00753195">
        <w:rPr>
          <w:rFonts w:cstheme="minorHAnsi"/>
          <w:sz w:val="24"/>
          <w:szCs w:val="24"/>
        </w:rPr>
        <w:t xml:space="preserve"> platformu 2010 yılında Endonezya Üniversitesi tarafından kurulmuştur. Yeşil Üniversiteler Sıralaması (</w:t>
      </w:r>
      <w:proofErr w:type="spellStart"/>
      <w:r w:rsidRPr="00753195">
        <w:rPr>
          <w:rFonts w:cstheme="minorHAnsi"/>
          <w:sz w:val="24"/>
          <w:szCs w:val="24"/>
        </w:rPr>
        <w:t>GreenMetric</w:t>
      </w:r>
      <w:proofErr w:type="spellEnd"/>
      <w:r w:rsidRPr="00753195">
        <w:rPr>
          <w:rFonts w:cstheme="minorHAnsi"/>
          <w:sz w:val="24"/>
          <w:szCs w:val="24"/>
        </w:rPr>
        <w:t xml:space="preserve">), üniversitelerin sürdürülebilirlik programlarının ve politikalarının </w:t>
      </w:r>
      <w:proofErr w:type="gramStart"/>
      <w:r w:rsidRPr="00753195">
        <w:rPr>
          <w:rFonts w:cstheme="minorHAnsi"/>
          <w:sz w:val="24"/>
          <w:szCs w:val="24"/>
        </w:rPr>
        <w:t>profilini</w:t>
      </w:r>
      <w:proofErr w:type="gramEnd"/>
      <w:r w:rsidRPr="00753195">
        <w:rPr>
          <w:rFonts w:cstheme="minorHAnsi"/>
          <w:sz w:val="24"/>
          <w:szCs w:val="24"/>
        </w:rPr>
        <w:t xml:space="preserve"> çıkarmak amacıyla Endonezya Üniversitesi tarafından 2010 yılında başlatılan bir anket çalışması olup “Yapı ve Altyapı, Enerji ve İklim Değişikliği, Atıklar, Su, Ulaşım ile Eğitim ve Araştırmadan oluşan 6 ana başlık altında toplanmıştır. Üniversitelerin yıllık karbon ayak izi hesaplamasından, enerji verimliliği uygulamalarına, çevre ve sürdürülebilirlik konulu eğitim ve araştırma faaliyetlerinden bu konulardaki öğrenci etkinliklerine kadar sorular içermektedir. </w:t>
      </w:r>
      <w:proofErr w:type="spellStart"/>
      <w:r w:rsidRPr="00753195">
        <w:rPr>
          <w:rFonts w:cstheme="minorHAnsi"/>
          <w:sz w:val="24"/>
          <w:szCs w:val="24"/>
        </w:rPr>
        <w:t>GreenMetric</w:t>
      </w:r>
      <w:proofErr w:type="spellEnd"/>
      <w:r w:rsidRPr="00753195">
        <w:rPr>
          <w:rFonts w:cstheme="minorHAnsi"/>
          <w:sz w:val="24"/>
          <w:szCs w:val="24"/>
        </w:rPr>
        <w:t>, üniversitelerin bu konudaki başarılarını değerlendirmekte, aldıkları puanlara göre sıralamakta ve sürdürülebilirlik yöntemlerinin geliştirilmesi noktasında üniversiteleri teşvik etmektedir.</w:t>
      </w:r>
    </w:p>
    <w:p w:rsidR="004A057A" w:rsidRPr="00753195" w:rsidRDefault="00A259C3" w:rsidP="004A05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Başkent Üniversitesi Rektörü Prof. Dr. Haldun Müderrisoğlu </w:t>
      </w:r>
      <w:r w:rsidR="00385FCB">
        <w:rPr>
          <w:rFonts w:cstheme="minorHAnsi"/>
          <w:sz w:val="24"/>
          <w:szCs w:val="24"/>
        </w:rPr>
        <w:t>“</w:t>
      </w:r>
      <w:r w:rsidR="00385FCB" w:rsidRPr="00385FCB">
        <w:rPr>
          <w:rFonts w:cstheme="minorHAnsi"/>
          <w:sz w:val="24"/>
          <w:szCs w:val="24"/>
        </w:rPr>
        <w:t>tüm dünyadan saygın üniversitelerin katıldığı, sürdürülebilirlik ve çevre bilinci konusunda küresel far</w:t>
      </w:r>
      <w:r w:rsidR="00385FCB">
        <w:rPr>
          <w:rFonts w:cstheme="minorHAnsi"/>
          <w:sz w:val="24"/>
          <w:szCs w:val="24"/>
        </w:rPr>
        <w:t xml:space="preserve">kındalık oluşturmayı amaçlayan </w:t>
      </w:r>
      <w:proofErr w:type="spellStart"/>
      <w:r w:rsidR="00385FCB" w:rsidRPr="00385FCB">
        <w:rPr>
          <w:rFonts w:cstheme="minorHAnsi"/>
          <w:sz w:val="24"/>
          <w:szCs w:val="24"/>
        </w:rPr>
        <w:t>GreenMetric</w:t>
      </w:r>
      <w:proofErr w:type="spellEnd"/>
      <w:r w:rsidR="00385FCB" w:rsidRPr="00385FCB">
        <w:rPr>
          <w:rFonts w:cstheme="minorHAnsi"/>
          <w:sz w:val="24"/>
          <w:szCs w:val="24"/>
        </w:rPr>
        <w:t xml:space="preserve"> 2022 </w:t>
      </w:r>
      <w:r w:rsidR="00385FCB">
        <w:rPr>
          <w:rFonts w:cstheme="minorHAnsi"/>
          <w:sz w:val="24"/>
          <w:szCs w:val="24"/>
        </w:rPr>
        <w:t xml:space="preserve">sıralamasında elde edilen sonucun memnun edici </w:t>
      </w:r>
      <w:r w:rsidR="00385FCB">
        <w:rPr>
          <w:rFonts w:cstheme="minorHAnsi"/>
          <w:sz w:val="24"/>
          <w:szCs w:val="24"/>
        </w:rPr>
        <w:lastRenderedPageBreak/>
        <w:t xml:space="preserve">olduğunu </w:t>
      </w:r>
      <w:r w:rsidR="00A5296C">
        <w:rPr>
          <w:rFonts w:cstheme="minorHAnsi"/>
          <w:sz w:val="24"/>
          <w:szCs w:val="24"/>
        </w:rPr>
        <w:t>belirterek</w:t>
      </w:r>
      <w:r w:rsidR="00385FCB">
        <w:rPr>
          <w:rFonts w:cstheme="minorHAnsi"/>
          <w:sz w:val="24"/>
          <w:szCs w:val="24"/>
        </w:rPr>
        <w:t xml:space="preserve">, bu </w:t>
      </w:r>
      <w:r w:rsidR="008A4620">
        <w:rPr>
          <w:rFonts w:cstheme="minorHAnsi"/>
          <w:sz w:val="24"/>
          <w:szCs w:val="24"/>
        </w:rPr>
        <w:t>süre</w:t>
      </w:r>
      <w:r w:rsidR="00385FCB">
        <w:rPr>
          <w:rFonts w:cstheme="minorHAnsi"/>
          <w:sz w:val="24"/>
          <w:szCs w:val="24"/>
        </w:rPr>
        <w:t>çte</w:t>
      </w:r>
      <w:r w:rsidR="008A4620">
        <w:rPr>
          <w:rFonts w:cstheme="minorHAnsi"/>
          <w:sz w:val="24"/>
          <w:szCs w:val="24"/>
        </w:rPr>
        <w:t xml:space="preserve"> </w:t>
      </w:r>
      <w:r w:rsidR="004A057A" w:rsidRPr="00753195">
        <w:rPr>
          <w:rFonts w:cstheme="minorHAnsi"/>
          <w:sz w:val="24"/>
          <w:szCs w:val="24"/>
        </w:rPr>
        <w:t>destek veren tüm akademik, idari personelimize ve öğrencilerimize teşekkür</w:t>
      </w:r>
      <w:r w:rsidR="00385FCB">
        <w:rPr>
          <w:rFonts w:cstheme="minorHAnsi"/>
          <w:sz w:val="24"/>
          <w:szCs w:val="24"/>
        </w:rPr>
        <w:t>lerini iletti”</w:t>
      </w:r>
      <w:r w:rsidR="004A057A" w:rsidRPr="00753195">
        <w:rPr>
          <w:rFonts w:cstheme="minorHAnsi"/>
          <w:sz w:val="24"/>
          <w:szCs w:val="24"/>
        </w:rPr>
        <w:t xml:space="preserve">. </w:t>
      </w:r>
    </w:p>
    <w:p w:rsidR="004A057A" w:rsidRDefault="004A057A" w:rsidP="004A057A">
      <w:pPr>
        <w:jc w:val="both"/>
        <w:rPr>
          <w:rFonts w:cstheme="minorHAnsi"/>
          <w:sz w:val="24"/>
          <w:szCs w:val="24"/>
        </w:rPr>
      </w:pPr>
      <w:r w:rsidRPr="00753195">
        <w:rPr>
          <w:rFonts w:cstheme="minorHAnsi"/>
          <w:sz w:val="24"/>
          <w:szCs w:val="24"/>
        </w:rPr>
        <w:t xml:space="preserve">Detaylı bilgilere BÜÇEM Sürdürülebilir Çevre Uygulama ve Araştırma Merkezi web sayfasından https://bucemcevremerkezi.wixsite.com/baskent adresinden </w:t>
      </w:r>
      <w:r w:rsidR="007D7867">
        <w:rPr>
          <w:rFonts w:cstheme="minorHAnsi"/>
          <w:sz w:val="24"/>
          <w:szCs w:val="24"/>
        </w:rPr>
        <w:t xml:space="preserve">ve </w:t>
      </w:r>
      <w:proofErr w:type="spellStart"/>
      <w:r w:rsidR="007D7867">
        <w:rPr>
          <w:rFonts w:cstheme="minorHAnsi"/>
          <w:sz w:val="24"/>
          <w:szCs w:val="24"/>
        </w:rPr>
        <w:t>baskent_bucem</w:t>
      </w:r>
      <w:proofErr w:type="spellEnd"/>
      <w:r w:rsidR="007D7867">
        <w:rPr>
          <w:rFonts w:cstheme="minorHAnsi"/>
          <w:sz w:val="24"/>
          <w:szCs w:val="24"/>
        </w:rPr>
        <w:t xml:space="preserve"> </w:t>
      </w:r>
      <w:proofErr w:type="spellStart"/>
      <w:r w:rsidR="007D7867">
        <w:rPr>
          <w:rFonts w:cstheme="minorHAnsi"/>
          <w:sz w:val="24"/>
          <w:szCs w:val="24"/>
        </w:rPr>
        <w:t>instagram</w:t>
      </w:r>
      <w:proofErr w:type="spellEnd"/>
      <w:r w:rsidR="007D7867">
        <w:rPr>
          <w:rFonts w:cstheme="minorHAnsi"/>
          <w:sz w:val="24"/>
          <w:szCs w:val="24"/>
        </w:rPr>
        <w:t xml:space="preserve"> hesabından </w:t>
      </w:r>
      <w:r w:rsidRPr="00753195">
        <w:rPr>
          <w:rFonts w:cstheme="minorHAnsi"/>
          <w:sz w:val="24"/>
          <w:szCs w:val="24"/>
        </w:rPr>
        <w:t>erişilebilir.</w:t>
      </w:r>
    </w:p>
    <w:p w:rsidR="00393A84" w:rsidRDefault="00393A84" w:rsidP="004A057A">
      <w:pPr>
        <w:jc w:val="both"/>
        <w:rPr>
          <w:rFonts w:cstheme="minorHAnsi"/>
          <w:sz w:val="24"/>
          <w:szCs w:val="24"/>
        </w:rPr>
      </w:pPr>
      <w:r w:rsidRPr="00393A84">
        <w:rPr>
          <w:noProof/>
          <w:lang w:eastAsia="tr-TR"/>
        </w:rPr>
        <w:drawing>
          <wp:inline distT="0" distB="0" distL="0" distR="0">
            <wp:extent cx="4268937" cy="2279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497" cy="22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A49" w:rsidRPr="00753195" w:rsidRDefault="00485715" w:rsidP="004A057A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E8FBF80" wp14:editId="6DB89687">
            <wp:extent cx="4184650" cy="275484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049" r="29122"/>
                    <a:stretch/>
                  </pic:blipFill>
                  <pic:spPr bwMode="auto">
                    <a:xfrm>
                      <a:off x="0" y="0"/>
                      <a:ext cx="4191170" cy="2759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1A49" w:rsidRPr="00753195" w:rsidSect="00C47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14"/>
    <w:rsid w:val="00006E17"/>
    <w:rsid w:val="00034722"/>
    <w:rsid w:val="00035B9B"/>
    <w:rsid w:val="0004508D"/>
    <w:rsid w:val="00065AA0"/>
    <w:rsid w:val="0007743F"/>
    <w:rsid w:val="00077F70"/>
    <w:rsid w:val="000937ED"/>
    <w:rsid w:val="000D48B0"/>
    <w:rsid w:val="001A353A"/>
    <w:rsid w:val="001B0381"/>
    <w:rsid w:val="001B6AEF"/>
    <w:rsid w:val="001E5334"/>
    <w:rsid w:val="001F3B00"/>
    <w:rsid w:val="00211401"/>
    <w:rsid w:val="00231A49"/>
    <w:rsid w:val="0025467B"/>
    <w:rsid w:val="00256AFE"/>
    <w:rsid w:val="0029344B"/>
    <w:rsid w:val="002B6960"/>
    <w:rsid w:val="002B761C"/>
    <w:rsid w:val="002C6B88"/>
    <w:rsid w:val="002E4198"/>
    <w:rsid w:val="00344A9F"/>
    <w:rsid w:val="00353AE1"/>
    <w:rsid w:val="003635D0"/>
    <w:rsid w:val="00372488"/>
    <w:rsid w:val="00385FCB"/>
    <w:rsid w:val="003903E1"/>
    <w:rsid w:val="00393A84"/>
    <w:rsid w:val="00394BE8"/>
    <w:rsid w:val="003F0A79"/>
    <w:rsid w:val="003F3051"/>
    <w:rsid w:val="004044AB"/>
    <w:rsid w:val="00426644"/>
    <w:rsid w:val="0045247D"/>
    <w:rsid w:val="00484173"/>
    <w:rsid w:val="00485715"/>
    <w:rsid w:val="00494588"/>
    <w:rsid w:val="004A057A"/>
    <w:rsid w:val="004E0D7F"/>
    <w:rsid w:val="00511E97"/>
    <w:rsid w:val="00540B8F"/>
    <w:rsid w:val="00593E9A"/>
    <w:rsid w:val="005B1554"/>
    <w:rsid w:val="005C4BE6"/>
    <w:rsid w:val="005D1750"/>
    <w:rsid w:val="00604149"/>
    <w:rsid w:val="006173CE"/>
    <w:rsid w:val="00626DD0"/>
    <w:rsid w:val="00653124"/>
    <w:rsid w:val="00663632"/>
    <w:rsid w:val="006E21AB"/>
    <w:rsid w:val="007009BE"/>
    <w:rsid w:val="0072287C"/>
    <w:rsid w:val="0074342E"/>
    <w:rsid w:val="00753195"/>
    <w:rsid w:val="007769A8"/>
    <w:rsid w:val="007A7F7B"/>
    <w:rsid w:val="007B1650"/>
    <w:rsid w:val="007C416E"/>
    <w:rsid w:val="007D7867"/>
    <w:rsid w:val="007E6500"/>
    <w:rsid w:val="007F102A"/>
    <w:rsid w:val="00803241"/>
    <w:rsid w:val="008125A5"/>
    <w:rsid w:val="00822EFE"/>
    <w:rsid w:val="008421C0"/>
    <w:rsid w:val="00861EBF"/>
    <w:rsid w:val="00884176"/>
    <w:rsid w:val="008959F7"/>
    <w:rsid w:val="008A4620"/>
    <w:rsid w:val="008B1666"/>
    <w:rsid w:val="008C197E"/>
    <w:rsid w:val="008C29DC"/>
    <w:rsid w:val="008D2873"/>
    <w:rsid w:val="008E349A"/>
    <w:rsid w:val="009013FF"/>
    <w:rsid w:val="00924C43"/>
    <w:rsid w:val="009903B9"/>
    <w:rsid w:val="00993EE9"/>
    <w:rsid w:val="009A21CF"/>
    <w:rsid w:val="009D2D45"/>
    <w:rsid w:val="009D44BE"/>
    <w:rsid w:val="00A0058D"/>
    <w:rsid w:val="00A1532A"/>
    <w:rsid w:val="00A259C3"/>
    <w:rsid w:val="00A51606"/>
    <w:rsid w:val="00A5296C"/>
    <w:rsid w:val="00A56DD3"/>
    <w:rsid w:val="00A84BDC"/>
    <w:rsid w:val="00AA1C61"/>
    <w:rsid w:val="00AA4184"/>
    <w:rsid w:val="00AB38AC"/>
    <w:rsid w:val="00AB471A"/>
    <w:rsid w:val="00B02947"/>
    <w:rsid w:val="00B666FF"/>
    <w:rsid w:val="00B726F7"/>
    <w:rsid w:val="00B83B3E"/>
    <w:rsid w:val="00B90F57"/>
    <w:rsid w:val="00BA2EA7"/>
    <w:rsid w:val="00BA63A7"/>
    <w:rsid w:val="00BC40B5"/>
    <w:rsid w:val="00BC47CA"/>
    <w:rsid w:val="00C02A07"/>
    <w:rsid w:val="00C25B7D"/>
    <w:rsid w:val="00C47556"/>
    <w:rsid w:val="00C578B1"/>
    <w:rsid w:val="00C806AA"/>
    <w:rsid w:val="00CD0689"/>
    <w:rsid w:val="00CE56A3"/>
    <w:rsid w:val="00D22E97"/>
    <w:rsid w:val="00D40B63"/>
    <w:rsid w:val="00D722EB"/>
    <w:rsid w:val="00D93395"/>
    <w:rsid w:val="00DB22CB"/>
    <w:rsid w:val="00DD7858"/>
    <w:rsid w:val="00E14F51"/>
    <w:rsid w:val="00E31D99"/>
    <w:rsid w:val="00E3708A"/>
    <w:rsid w:val="00E702FC"/>
    <w:rsid w:val="00E755C7"/>
    <w:rsid w:val="00EE7659"/>
    <w:rsid w:val="00EF4D14"/>
    <w:rsid w:val="00F255D1"/>
    <w:rsid w:val="00F44A0D"/>
    <w:rsid w:val="00F6624D"/>
    <w:rsid w:val="00F677B6"/>
    <w:rsid w:val="00F701A5"/>
    <w:rsid w:val="00F742C7"/>
    <w:rsid w:val="00F830C8"/>
    <w:rsid w:val="00FB75A6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6503-7F2B-474C-9310-646C92F3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D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6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Nazmiye user</cp:lastModifiedBy>
  <cp:revision>2</cp:revision>
  <dcterms:created xsi:type="dcterms:W3CDTF">2023-02-08T19:46:00Z</dcterms:created>
  <dcterms:modified xsi:type="dcterms:W3CDTF">2023-02-08T19:46:00Z</dcterms:modified>
</cp:coreProperties>
</file>